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4CC6" w:rsidRDefault="00E32F2C" w:rsidP="00E32F2C">
      <w:pPr>
        <w:jc w:val="center"/>
      </w:pPr>
      <w:r>
        <w:rPr>
          <w:noProof/>
        </w:rPr>
        <w:drawing>
          <wp:inline distT="0" distB="0" distL="0" distR="0">
            <wp:extent cx="2247089" cy="433333"/>
            <wp:effectExtent l="0" t="0" r="1270" b="0"/>
            <wp:docPr id="20684000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400024" name="Picture 206840002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089" cy="4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0E0" w:rsidRDefault="007020E0" w:rsidP="00E32F2C">
      <w:pPr>
        <w:rPr>
          <w:sz w:val="22"/>
          <w:szCs w:val="22"/>
        </w:rPr>
      </w:pPr>
    </w:p>
    <w:p w:rsidR="002167EF" w:rsidRDefault="002167EF" w:rsidP="00E32F2C">
      <w:pPr>
        <w:rPr>
          <w:sz w:val="22"/>
          <w:szCs w:val="22"/>
        </w:rPr>
      </w:pPr>
    </w:p>
    <w:p w:rsidR="00E10C3C" w:rsidRPr="009730C7" w:rsidRDefault="00E10C3C" w:rsidP="00E10C3C">
      <w:pPr>
        <w:pStyle w:val="Heading3"/>
        <w:ind w:left="720"/>
        <w:jc w:val="center"/>
        <w:rPr>
          <w:rFonts w:asciiTheme="minorHAnsi" w:hAnsiTheme="minorHAnsi" w:cstheme="minorHAnsi"/>
          <w:sz w:val="24"/>
          <w:szCs w:val="24"/>
        </w:rPr>
      </w:pPr>
      <w:r w:rsidRPr="009730C7">
        <w:rPr>
          <w:rFonts w:asciiTheme="minorHAnsi" w:hAnsiTheme="minorHAnsi" w:cstheme="minorHAnsi"/>
          <w:sz w:val="24"/>
          <w:szCs w:val="24"/>
        </w:rPr>
        <w:t>Key Mechanisms for Wealth Creation</w:t>
      </w:r>
    </w:p>
    <w:p w:rsidR="00E10C3C" w:rsidRPr="009730C7" w:rsidRDefault="00E10C3C" w:rsidP="00E10C3C">
      <w:pPr>
        <w:pStyle w:val="NormalWeb"/>
        <w:numPr>
          <w:ilvl w:val="0"/>
          <w:numId w:val="10"/>
        </w:numPr>
        <w:tabs>
          <w:tab w:val="clear" w:pos="720"/>
        </w:tabs>
        <w:ind w:left="1080"/>
        <w:rPr>
          <w:rFonts w:asciiTheme="minorHAnsi" w:hAnsiTheme="minorHAnsi" w:cstheme="minorHAnsi"/>
        </w:rPr>
      </w:pPr>
      <w:r w:rsidRPr="009730C7">
        <w:rPr>
          <w:rFonts w:asciiTheme="minorHAnsi" w:hAnsiTheme="minorHAnsi" w:cstheme="minorHAnsi"/>
          <w:b/>
          <w:bCs/>
        </w:rPr>
        <w:t>High-Yield Income and Cash Flow:</w:t>
      </w:r>
    </w:p>
    <w:p w:rsidR="00E10C3C" w:rsidRPr="009730C7" w:rsidRDefault="00E10C3C" w:rsidP="00E10C3C">
      <w:pPr>
        <w:pStyle w:val="NormalWeb"/>
        <w:numPr>
          <w:ilvl w:val="1"/>
          <w:numId w:val="10"/>
        </w:numPr>
        <w:rPr>
          <w:rFonts w:asciiTheme="minorHAnsi" w:hAnsiTheme="minorHAnsi" w:cstheme="minorHAnsi"/>
        </w:rPr>
      </w:pPr>
      <w:r w:rsidRPr="009730C7">
        <w:rPr>
          <w:rFonts w:asciiTheme="minorHAnsi" w:hAnsiTheme="minorHAnsi" w:cstheme="minorHAnsi"/>
          <w:b/>
          <w:bCs/>
        </w:rPr>
        <w:t>Scale and Stability:</w:t>
      </w:r>
      <w:r w:rsidRPr="009730C7">
        <w:rPr>
          <w:rFonts w:asciiTheme="minorHAnsi" w:hAnsiTheme="minorHAnsi" w:cstheme="minorHAnsi"/>
        </w:rPr>
        <w:t xml:space="preserve"> CRE assets are generally larger and generate substantial, predictable monthly rental income (cash flow). Multi-family, office, and retail leases are often long-term, providing stable, recurring income that can immediately support multiple generations.</w:t>
      </w:r>
    </w:p>
    <w:p w:rsidR="00E10C3C" w:rsidRPr="009730C7" w:rsidRDefault="00E10C3C" w:rsidP="00E10C3C">
      <w:pPr>
        <w:pStyle w:val="NormalWeb"/>
        <w:numPr>
          <w:ilvl w:val="1"/>
          <w:numId w:val="10"/>
        </w:numPr>
        <w:rPr>
          <w:rFonts w:asciiTheme="minorHAnsi" w:hAnsiTheme="minorHAnsi" w:cstheme="minorHAnsi"/>
        </w:rPr>
      </w:pPr>
      <w:r w:rsidRPr="009730C7">
        <w:rPr>
          <w:rFonts w:asciiTheme="minorHAnsi" w:hAnsiTheme="minorHAnsi" w:cstheme="minorHAnsi"/>
          <w:b/>
          <w:bCs/>
        </w:rPr>
        <w:t>Triple Net Leases (NNN):</w:t>
      </w:r>
      <w:r w:rsidRPr="009730C7">
        <w:rPr>
          <w:rFonts w:asciiTheme="minorHAnsi" w:hAnsiTheme="minorHAnsi" w:cstheme="minorHAnsi"/>
        </w:rPr>
        <w:t xml:space="preserve"> Many commercial leases (especially retail/industrial) are NNN, meaning the tenant pays for property taxes, insurance, and maintenance. This drastically reduces the landlord's expenses and management burden, maximizing net operating income.</w:t>
      </w:r>
    </w:p>
    <w:p w:rsidR="00E10C3C" w:rsidRPr="009730C7" w:rsidRDefault="00E10C3C" w:rsidP="00E10C3C">
      <w:pPr>
        <w:pStyle w:val="NormalWeb"/>
        <w:numPr>
          <w:ilvl w:val="0"/>
          <w:numId w:val="10"/>
        </w:numPr>
        <w:tabs>
          <w:tab w:val="clear" w:pos="720"/>
        </w:tabs>
        <w:ind w:left="1080"/>
        <w:rPr>
          <w:rFonts w:asciiTheme="minorHAnsi" w:hAnsiTheme="minorHAnsi" w:cstheme="minorHAnsi"/>
        </w:rPr>
      </w:pPr>
      <w:r w:rsidRPr="009730C7">
        <w:rPr>
          <w:rFonts w:asciiTheme="minorHAnsi" w:hAnsiTheme="minorHAnsi" w:cstheme="minorHAnsi"/>
          <w:b/>
          <w:bCs/>
        </w:rPr>
        <w:t>Specialized Tax Advantages (Phantom Income Reduction):</w:t>
      </w:r>
    </w:p>
    <w:p w:rsidR="00E10C3C" w:rsidRPr="009730C7" w:rsidRDefault="00E10C3C" w:rsidP="00E10C3C">
      <w:pPr>
        <w:pStyle w:val="NormalWeb"/>
        <w:numPr>
          <w:ilvl w:val="1"/>
          <w:numId w:val="10"/>
        </w:numPr>
        <w:rPr>
          <w:rFonts w:asciiTheme="minorHAnsi" w:hAnsiTheme="minorHAnsi" w:cstheme="minorHAnsi"/>
        </w:rPr>
      </w:pPr>
      <w:r w:rsidRPr="009730C7">
        <w:rPr>
          <w:rFonts w:asciiTheme="minorHAnsi" w:hAnsiTheme="minorHAnsi" w:cstheme="minorHAnsi"/>
          <w:b/>
          <w:bCs/>
        </w:rPr>
        <w:t>Depreciation:</w:t>
      </w:r>
      <w:r w:rsidRPr="009730C7">
        <w:rPr>
          <w:rFonts w:asciiTheme="minorHAnsi" w:hAnsiTheme="minorHAnsi" w:cstheme="minorHAnsi"/>
        </w:rPr>
        <w:t xml:space="preserve"> Owners can deduct the property's value (excluding land) over its useful life (often 39 years), which is a non-cash expense. This significantly reduces the taxable portion of the cash flow, allowing the income to be passed to heirs with minimal immediate tax consequence.</w:t>
      </w:r>
    </w:p>
    <w:p w:rsidR="00E10C3C" w:rsidRPr="009730C7" w:rsidRDefault="00E10C3C" w:rsidP="00E10C3C">
      <w:pPr>
        <w:pStyle w:val="NormalWeb"/>
        <w:numPr>
          <w:ilvl w:val="1"/>
          <w:numId w:val="10"/>
        </w:numPr>
        <w:rPr>
          <w:rFonts w:asciiTheme="minorHAnsi" w:hAnsiTheme="minorHAnsi" w:cstheme="minorHAnsi"/>
        </w:rPr>
      </w:pPr>
      <w:r w:rsidRPr="009730C7">
        <w:rPr>
          <w:rFonts w:asciiTheme="minorHAnsi" w:hAnsiTheme="minorHAnsi" w:cstheme="minorHAnsi"/>
          <w:b/>
          <w:bCs/>
        </w:rPr>
        <w:t>Cost Segregation:</w:t>
      </w:r>
      <w:r w:rsidRPr="009730C7">
        <w:rPr>
          <w:rFonts w:asciiTheme="minorHAnsi" w:hAnsiTheme="minorHAnsi" w:cstheme="minorHAnsi"/>
        </w:rPr>
        <w:t xml:space="preserve"> This advanced technique accelerates depreciation by separating components of the building (like fixtures and site improvements) into shorter recovery periods (5, 7, or 15 years), creating large, immediate tax deductions.</w:t>
      </w:r>
    </w:p>
    <w:p w:rsidR="00E10C3C" w:rsidRPr="009730C7" w:rsidRDefault="00E10C3C" w:rsidP="00E10C3C">
      <w:pPr>
        <w:pStyle w:val="NormalWeb"/>
        <w:numPr>
          <w:ilvl w:val="0"/>
          <w:numId w:val="10"/>
        </w:numPr>
        <w:tabs>
          <w:tab w:val="clear" w:pos="720"/>
        </w:tabs>
        <w:ind w:left="1080"/>
        <w:rPr>
          <w:rFonts w:asciiTheme="minorHAnsi" w:hAnsiTheme="minorHAnsi" w:cstheme="minorHAnsi"/>
        </w:rPr>
      </w:pPr>
      <w:r w:rsidRPr="009730C7">
        <w:rPr>
          <w:rFonts w:asciiTheme="minorHAnsi" w:hAnsiTheme="minorHAnsi" w:cstheme="minorHAnsi"/>
          <w:b/>
          <w:bCs/>
        </w:rPr>
        <w:t>Leverage and Forced Appreciation:</w:t>
      </w:r>
    </w:p>
    <w:p w:rsidR="00E10C3C" w:rsidRPr="009730C7" w:rsidRDefault="00E10C3C" w:rsidP="00E10C3C">
      <w:pPr>
        <w:pStyle w:val="NormalWeb"/>
        <w:numPr>
          <w:ilvl w:val="1"/>
          <w:numId w:val="10"/>
        </w:numPr>
        <w:rPr>
          <w:rFonts w:asciiTheme="minorHAnsi" w:hAnsiTheme="minorHAnsi" w:cstheme="minorHAnsi"/>
        </w:rPr>
      </w:pPr>
      <w:r w:rsidRPr="009730C7">
        <w:rPr>
          <w:rFonts w:asciiTheme="minorHAnsi" w:hAnsiTheme="minorHAnsi" w:cstheme="minorHAnsi"/>
          <w:b/>
          <w:bCs/>
        </w:rPr>
        <w:t>Increased Leverage:</w:t>
      </w:r>
      <w:r w:rsidRPr="009730C7">
        <w:rPr>
          <w:rFonts w:asciiTheme="minorHAnsi" w:hAnsiTheme="minorHAnsi" w:cstheme="minorHAnsi"/>
        </w:rPr>
        <w:t xml:space="preserve"> CRE often allows for greater use of leverage (borrowed capital) than residential property, amplifying returns.</w:t>
      </w:r>
    </w:p>
    <w:p w:rsidR="00E10C3C" w:rsidRPr="009730C7" w:rsidRDefault="00E10C3C" w:rsidP="00E10C3C">
      <w:pPr>
        <w:pStyle w:val="NormalWeb"/>
        <w:numPr>
          <w:ilvl w:val="1"/>
          <w:numId w:val="10"/>
        </w:numPr>
        <w:rPr>
          <w:rFonts w:asciiTheme="minorHAnsi" w:hAnsiTheme="minorHAnsi" w:cstheme="minorHAnsi"/>
        </w:rPr>
      </w:pPr>
      <w:r w:rsidRPr="009730C7">
        <w:rPr>
          <w:rFonts w:asciiTheme="minorHAnsi" w:hAnsiTheme="minorHAnsi" w:cstheme="minorHAnsi"/>
          <w:b/>
          <w:bCs/>
        </w:rPr>
        <w:t>Value-Add Opportunities:</w:t>
      </w:r>
      <w:r w:rsidRPr="009730C7">
        <w:rPr>
          <w:rFonts w:asciiTheme="minorHAnsi" w:hAnsiTheme="minorHAnsi" w:cstheme="minorHAnsi"/>
        </w:rPr>
        <w:t xml:space="preserve"> Unlike residential homes, a CRE building's value is based primarily on the </w:t>
      </w:r>
      <w:r w:rsidRPr="009730C7">
        <w:rPr>
          <w:rFonts w:asciiTheme="minorHAnsi" w:hAnsiTheme="minorHAnsi" w:cstheme="minorHAnsi"/>
          <w:b/>
          <w:bCs/>
        </w:rPr>
        <w:t>Net Operating Income (NOI)</w:t>
      </w:r>
      <w:r w:rsidRPr="009730C7">
        <w:rPr>
          <w:rFonts w:asciiTheme="minorHAnsi" w:hAnsiTheme="minorHAnsi" w:cstheme="minorHAnsi"/>
        </w:rPr>
        <w:t xml:space="preserve"> it generates, not just comparable sales. By making operational improvements (raising rents, reducing expenses, increasing occupancy), owners can "force" the value to appreciate significantly.</w:t>
      </w:r>
    </w:p>
    <w:p w:rsidR="00E10C3C" w:rsidRPr="009730C7" w:rsidRDefault="00E10C3C" w:rsidP="00E10C3C">
      <w:pPr>
        <w:pStyle w:val="NormalWeb"/>
        <w:numPr>
          <w:ilvl w:val="0"/>
          <w:numId w:val="10"/>
        </w:numPr>
        <w:tabs>
          <w:tab w:val="clear" w:pos="720"/>
        </w:tabs>
        <w:ind w:left="1080"/>
        <w:rPr>
          <w:rFonts w:asciiTheme="minorHAnsi" w:hAnsiTheme="minorHAnsi" w:cstheme="minorHAnsi"/>
        </w:rPr>
      </w:pPr>
      <w:r w:rsidRPr="009730C7">
        <w:rPr>
          <w:rFonts w:asciiTheme="minorHAnsi" w:hAnsiTheme="minorHAnsi" w:cstheme="minorHAnsi"/>
          <w:b/>
          <w:bCs/>
        </w:rPr>
        <w:t>Tax-Deferred Transfer (The 1031 Exchange):</w:t>
      </w:r>
    </w:p>
    <w:p w:rsidR="00E10C3C" w:rsidRPr="009730C7" w:rsidRDefault="00E10C3C" w:rsidP="00E10C3C">
      <w:pPr>
        <w:pStyle w:val="NormalWeb"/>
        <w:numPr>
          <w:ilvl w:val="1"/>
          <w:numId w:val="10"/>
        </w:numPr>
        <w:rPr>
          <w:rFonts w:asciiTheme="minorHAnsi" w:hAnsiTheme="minorHAnsi" w:cstheme="minorHAnsi"/>
        </w:rPr>
      </w:pPr>
      <w:r w:rsidRPr="009730C7">
        <w:rPr>
          <w:rFonts w:asciiTheme="minorHAnsi" w:hAnsiTheme="minorHAnsi" w:cstheme="minorHAnsi"/>
          <w:b/>
          <w:bCs/>
        </w:rPr>
        <w:t>Compound Growth:</w:t>
      </w:r>
      <w:r w:rsidRPr="009730C7">
        <w:rPr>
          <w:rFonts w:asciiTheme="minorHAnsi" w:hAnsiTheme="minorHAnsi" w:cstheme="minorHAnsi"/>
        </w:rPr>
        <w:t xml:space="preserve"> CRE owners can sell an investment property and reinvest the proceeds into a larger, more valuable "like-kind" property without paying capital gains tax on the sale. This is called a </w:t>
      </w:r>
      <w:r w:rsidRPr="009730C7">
        <w:rPr>
          <w:rFonts w:asciiTheme="minorHAnsi" w:hAnsiTheme="minorHAnsi" w:cstheme="minorHAnsi"/>
          <w:b/>
          <w:bCs/>
        </w:rPr>
        <w:t>1031 Exchange</w:t>
      </w:r>
      <w:r w:rsidRPr="009730C7">
        <w:rPr>
          <w:rFonts w:asciiTheme="minorHAnsi" w:hAnsiTheme="minorHAnsi" w:cstheme="minorHAnsi"/>
        </w:rPr>
        <w:t>. This allows the family's equity to compound tax-free over decades, culminating in a massive, tax-advantaged transfer upon the original owner's death.</w:t>
      </w:r>
    </w:p>
    <w:p w:rsidR="00E10C3C" w:rsidRPr="003E2627" w:rsidRDefault="00E10C3C" w:rsidP="00E10C3C">
      <w:pPr>
        <w:pStyle w:val="NormalWeb"/>
        <w:ind w:left="720"/>
        <w:rPr>
          <w:rFonts w:asciiTheme="minorHAnsi" w:hAnsiTheme="minorHAnsi" w:cstheme="minorHAnsi"/>
        </w:rPr>
      </w:pPr>
      <w:r w:rsidRPr="009730C7">
        <w:rPr>
          <w:rFonts w:asciiTheme="minorHAnsi" w:hAnsiTheme="minorHAnsi" w:cstheme="minorHAnsi"/>
        </w:rPr>
        <w:t>By utilizing these tools—stable cash flow, superior tax deductions, value-add strategies, and the 1031 exchange—CRE creates a self-sustaining asset pool that grows significantly and is efficiently passed down to successive generations</w:t>
      </w:r>
    </w:p>
    <w:p w:rsidR="00E10C3C" w:rsidRDefault="00E10C3C" w:rsidP="00E10C3C"/>
    <w:p w:rsidR="008D13AE" w:rsidRPr="008D13AE" w:rsidRDefault="008D13AE" w:rsidP="00E32F2C">
      <w:pPr>
        <w:rPr>
          <w:sz w:val="22"/>
          <w:szCs w:val="22"/>
        </w:rPr>
      </w:pPr>
    </w:p>
    <w:sectPr w:rsidR="008D13AE" w:rsidRPr="008D13AE" w:rsidSect="00DD12C3">
      <w:footerReference w:type="default" r:id="rId8"/>
      <w:pgSz w:w="12240" w:h="15840"/>
      <w:pgMar w:top="603" w:right="1440" w:bottom="1125" w:left="1440" w:header="720" w:footer="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4986" w:rsidRDefault="004F4986" w:rsidP="00E32F2C">
      <w:r>
        <w:separator/>
      </w:r>
    </w:p>
  </w:endnote>
  <w:endnote w:type="continuationSeparator" w:id="0">
    <w:p w:rsidR="004F4986" w:rsidRDefault="004F4986" w:rsidP="00E32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2F2C" w:rsidRDefault="00E32F2C" w:rsidP="00E32F2C">
    <w:pPr>
      <w:jc w:val="center"/>
      <w:rPr>
        <w:rFonts w:ascii="Arial Narrow" w:hAnsi="Arial Narrow" w:cs="Futura Medium"/>
        <w:sz w:val="20"/>
        <w:szCs w:val="20"/>
      </w:rPr>
    </w:pPr>
  </w:p>
  <w:p w:rsidR="00E32F2C" w:rsidRPr="00870949" w:rsidRDefault="00E32F2C" w:rsidP="00E32F2C">
    <w:pPr>
      <w:jc w:val="center"/>
      <w:rPr>
        <w:rFonts w:ascii="Arial Narrow" w:hAnsi="Arial Narrow" w:cs="Futura Medium"/>
        <w:sz w:val="20"/>
        <w:szCs w:val="20"/>
      </w:rPr>
    </w:pPr>
    <w:r w:rsidRPr="00870949">
      <w:rPr>
        <w:rFonts w:ascii="Arial Narrow" w:hAnsi="Arial Narrow" w:cs="Futura Medium"/>
        <w:sz w:val="20"/>
        <w:szCs w:val="20"/>
      </w:rPr>
      <w:t>1575 E. Southlake Blvd. Southlake, TX 76092      Mobile: 808-223-2731   georgewessberg@ebby.com</w:t>
    </w:r>
  </w:p>
  <w:p w:rsidR="00E32F2C" w:rsidRDefault="00E32F2C">
    <w:pPr>
      <w:pStyle w:val="Footer"/>
    </w:pPr>
  </w:p>
  <w:p w:rsidR="00E32F2C" w:rsidRDefault="00E32F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4986" w:rsidRDefault="004F4986" w:rsidP="00E32F2C">
      <w:r>
        <w:separator/>
      </w:r>
    </w:p>
  </w:footnote>
  <w:footnote w:type="continuationSeparator" w:id="0">
    <w:p w:rsidR="004F4986" w:rsidRDefault="004F4986" w:rsidP="00E32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5E8D"/>
    <w:multiLevelType w:val="hybridMultilevel"/>
    <w:tmpl w:val="012E7F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3438F"/>
    <w:multiLevelType w:val="hybridMultilevel"/>
    <w:tmpl w:val="F2A096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71F45"/>
    <w:multiLevelType w:val="hybridMultilevel"/>
    <w:tmpl w:val="84E00E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F5C73"/>
    <w:multiLevelType w:val="hybridMultilevel"/>
    <w:tmpl w:val="E85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57574"/>
    <w:multiLevelType w:val="hybridMultilevel"/>
    <w:tmpl w:val="60F897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357E0"/>
    <w:multiLevelType w:val="hybridMultilevel"/>
    <w:tmpl w:val="09D0B9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B0ED7"/>
    <w:multiLevelType w:val="hybridMultilevel"/>
    <w:tmpl w:val="929848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33DF5"/>
    <w:multiLevelType w:val="hybridMultilevel"/>
    <w:tmpl w:val="3D30A8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C15C30"/>
    <w:multiLevelType w:val="hybridMultilevel"/>
    <w:tmpl w:val="B0D8CC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F635E4"/>
    <w:multiLevelType w:val="multilevel"/>
    <w:tmpl w:val="32DC9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7923697">
    <w:abstractNumId w:val="6"/>
  </w:num>
  <w:num w:numId="2" w16cid:durableId="1693916906">
    <w:abstractNumId w:val="3"/>
  </w:num>
  <w:num w:numId="3" w16cid:durableId="1591891804">
    <w:abstractNumId w:val="1"/>
  </w:num>
  <w:num w:numId="4" w16cid:durableId="974682710">
    <w:abstractNumId w:val="0"/>
  </w:num>
  <w:num w:numId="5" w16cid:durableId="2062092499">
    <w:abstractNumId w:val="4"/>
  </w:num>
  <w:num w:numId="6" w16cid:durableId="1076513343">
    <w:abstractNumId w:val="2"/>
  </w:num>
  <w:num w:numId="7" w16cid:durableId="1992326610">
    <w:abstractNumId w:val="5"/>
  </w:num>
  <w:num w:numId="8" w16cid:durableId="803503829">
    <w:abstractNumId w:val="8"/>
  </w:num>
  <w:num w:numId="9" w16cid:durableId="2088071992">
    <w:abstractNumId w:val="7"/>
  </w:num>
  <w:num w:numId="10" w16cid:durableId="18860198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F2C"/>
    <w:rsid w:val="00144B4C"/>
    <w:rsid w:val="00197A25"/>
    <w:rsid w:val="001A4E97"/>
    <w:rsid w:val="00210D16"/>
    <w:rsid w:val="002167EF"/>
    <w:rsid w:val="00295686"/>
    <w:rsid w:val="002A22B8"/>
    <w:rsid w:val="00323D26"/>
    <w:rsid w:val="003456B3"/>
    <w:rsid w:val="00447B01"/>
    <w:rsid w:val="0049669A"/>
    <w:rsid w:val="004B6242"/>
    <w:rsid w:val="004E4CC6"/>
    <w:rsid w:val="004F4986"/>
    <w:rsid w:val="005F088E"/>
    <w:rsid w:val="006E79F1"/>
    <w:rsid w:val="007020E0"/>
    <w:rsid w:val="007D1B89"/>
    <w:rsid w:val="00822D08"/>
    <w:rsid w:val="0085556C"/>
    <w:rsid w:val="008D13AE"/>
    <w:rsid w:val="008F6D7B"/>
    <w:rsid w:val="00906F0B"/>
    <w:rsid w:val="009F5D51"/>
    <w:rsid w:val="00A12F5C"/>
    <w:rsid w:val="00C32555"/>
    <w:rsid w:val="00D13CF1"/>
    <w:rsid w:val="00D925FE"/>
    <w:rsid w:val="00DD11AF"/>
    <w:rsid w:val="00DD12C3"/>
    <w:rsid w:val="00E10C3C"/>
    <w:rsid w:val="00E22CC7"/>
    <w:rsid w:val="00E32F2C"/>
    <w:rsid w:val="00E63E29"/>
    <w:rsid w:val="00EC4533"/>
    <w:rsid w:val="00F20E03"/>
    <w:rsid w:val="00F621C6"/>
    <w:rsid w:val="00F76BE8"/>
    <w:rsid w:val="00FA578C"/>
    <w:rsid w:val="00FD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FB5CD67-794D-FA46-B00B-26A9FAD6B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10C3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F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2F2C"/>
  </w:style>
  <w:style w:type="paragraph" w:styleId="Footer">
    <w:name w:val="footer"/>
    <w:basedOn w:val="Normal"/>
    <w:link w:val="FooterChar"/>
    <w:uiPriority w:val="99"/>
    <w:unhideWhenUsed/>
    <w:rsid w:val="00E32F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F2C"/>
  </w:style>
  <w:style w:type="paragraph" w:styleId="ListParagraph">
    <w:name w:val="List Paragraph"/>
    <w:basedOn w:val="Normal"/>
    <w:uiPriority w:val="34"/>
    <w:qFormat/>
    <w:rsid w:val="00D925F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10C3C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unhideWhenUsed/>
    <w:rsid w:val="00E10C3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Wessberg</dc:creator>
  <cp:keywords/>
  <dc:description/>
  <cp:lastModifiedBy>George Wessberg</cp:lastModifiedBy>
  <cp:revision>2</cp:revision>
  <cp:lastPrinted>2024-12-30T05:48:00Z</cp:lastPrinted>
  <dcterms:created xsi:type="dcterms:W3CDTF">2025-11-26T04:18:00Z</dcterms:created>
  <dcterms:modified xsi:type="dcterms:W3CDTF">2025-11-26T04:18:00Z</dcterms:modified>
</cp:coreProperties>
</file>